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D9B" w:rsidRPr="00B64D9B" w:rsidRDefault="00B64D9B" w:rsidP="00B64D9B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64D9B">
        <w:rPr>
          <w:rFonts w:ascii="Times New Roman" w:hAnsi="Times New Roman" w:cs="Times New Roman"/>
          <w:b/>
          <w:sz w:val="24"/>
          <w:szCs w:val="24"/>
        </w:rPr>
        <w:t>KTO MOŻE ODDAĆ KREW?</w:t>
      </w:r>
    </w:p>
    <w:p w:rsidR="00B64D9B" w:rsidRPr="00B64D9B" w:rsidRDefault="00B64D9B" w:rsidP="00B64D9B">
      <w:pPr>
        <w:rPr>
          <w:rFonts w:ascii="Times New Roman" w:hAnsi="Times New Roman" w:cs="Times New Roman"/>
          <w:sz w:val="24"/>
          <w:szCs w:val="24"/>
        </w:rPr>
      </w:pPr>
      <w:r w:rsidRPr="00B64D9B">
        <w:rPr>
          <w:rFonts w:ascii="Times New Roman" w:hAnsi="Times New Roman" w:cs="Times New Roman"/>
          <w:sz w:val="24"/>
          <w:szCs w:val="24"/>
        </w:rPr>
        <w:t>Krew przetłuszczona (</w:t>
      </w:r>
      <w:proofErr w:type="spellStart"/>
      <w:r w:rsidRPr="00B64D9B">
        <w:rPr>
          <w:rFonts w:ascii="Times New Roman" w:hAnsi="Times New Roman" w:cs="Times New Roman"/>
          <w:sz w:val="24"/>
          <w:szCs w:val="24"/>
        </w:rPr>
        <w:t>lipemiczna</w:t>
      </w:r>
      <w:proofErr w:type="spellEnd"/>
      <w:r w:rsidRPr="00B64D9B">
        <w:rPr>
          <w:rFonts w:ascii="Times New Roman" w:hAnsi="Times New Roman" w:cs="Times New Roman"/>
          <w:sz w:val="24"/>
          <w:szCs w:val="24"/>
        </w:rPr>
        <w:t>) nie nadaje się do celów leczniczych, dlatego każdy krwiodawca w dniu poprzedzającym oddanie krwi powinien spożyć lekkostrawną kolację a w dniu donacji, rano, zjeść lekkie śniadanie oraz pić dużo płynów.</w:t>
      </w:r>
    </w:p>
    <w:p w:rsidR="00B64D9B" w:rsidRPr="00B64D9B" w:rsidRDefault="00B64D9B" w:rsidP="00B64D9B">
      <w:pPr>
        <w:rPr>
          <w:rFonts w:ascii="Times New Roman" w:hAnsi="Times New Roman" w:cs="Times New Roman"/>
          <w:b/>
          <w:sz w:val="24"/>
          <w:szCs w:val="24"/>
        </w:rPr>
      </w:pPr>
      <w:r w:rsidRPr="00B64D9B">
        <w:rPr>
          <w:rFonts w:ascii="Times New Roman" w:hAnsi="Times New Roman" w:cs="Times New Roman"/>
          <w:b/>
          <w:sz w:val="24"/>
          <w:szCs w:val="24"/>
        </w:rPr>
        <w:t>Osoby od 18. do 65. roku życia:</w:t>
      </w:r>
    </w:p>
    <w:p w:rsidR="00B64D9B" w:rsidRPr="00B64D9B" w:rsidRDefault="00B64D9B" w:rsidP="00B64D9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64D9B">
        <w:rPr>
          <w:rFonts w:ascii="Times New Roman" w:hAnsi="Times New Roman" w:cs="Times New Roman"/>
          <w:sz w:val="24"/>
          <w:szCs w:val="24"/>
        </w:rPr>
        <w:t>które ważą co najmniej 50 kilogramów,</w:t>
      </w:r>
    </w:p>
    <w:p w:rsidR="00B64D9B" w:rsidRPr="00B64D9B" w:rsidRDefault="00B64D9B" w:rsidP="00B64D9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64D9B">
        <w:rPr>
          <w:rFonts w:ascii="Times New Roman" w:hAnsi="Times New Roman" w:cs="Times New Roman"/>
          <w:sz w:val="24"/>
          <w:szCs w:val="24"/>
        </w:rPr>
        <w:t>u których w ciągu ostatnich 6 miesięcy nie wykonano akupunktury, tatuażu, przekłucia uszu lub innych części ciała,</w:t>
      </w:r>
    </w:p>
    <w:p w:rsidR="00B64D9B" w:rsidRPr="00B64D9B" w:rsidRDefault="00B64D9B" w:rsidP="00B64D9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64D9B">
        <w:rPr>
          <w:rFonts w:ascii="Times New Roman" w:hAnsi="Times New Roman" w:cs="Times New Roman"/>
          <w:sz w:val="24"/>
          <w:szCs w:val="24"/>
        </w:rPr>
        <w:t>które w ciągu ostatnich 6 miesięcy nie miały wykonanych żadnych zabiegów operacyjnych, endoskopowych i innych diagnostycznych badań (np. gastroskopii, panendoskopii, artroskopii, laparoskopii),</w:t>
      </w:r>
    </w:p>
    <w:p w:rsidR="00B64D9B" w:rsidRPr="00B64D9B" w:rsidRDefault="00B64D9B" w:rsidP="00B64D9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64D9B">
        <w:rPr>
          <w:rFonts w:ascii="Times New Roman" w:hAnsi="Times New Roman" w:cs="Times New Roman"/>
          <w:sz w:val="24"/>
          <w:szCs w:val="24"/>
        </w:rPr>
        <w:t>które w ciągu ostatnich 6 miesięcy nie były leczone krwią i preparatami krwiopochodnymi.</w:t>
      </w:r>
    </w:p>
    <w:p w:rsidR="00B64D9B" w:rsidRPr="00B64D9B" w:rsidRDefault="00B64D9B" w:rsidP="00B64D9B">
      <w:pPr>
        <w:rPr>
          <w:rFonts w:ascii="Times New Roman" w:hAnsi="Times New Roman" w:cs="Times New Roman"/>
          <w:b/>
          <w:sz w:val="24"/>
          <w:szCs w:val="24"/>
        </w:rPr>
      </w:pPr>
      <w:r w:rsidRPr="00B64D9B">
        <w:rPr>
          <w:rFonts w:ascii="Times New Roman" w:hAnsi="Times New Roman" w:cs="Times New Roman"/>
          <w:b/>
          <w:sz w:val="24"/>
          <w:szCs w:val="24"/>
        </w:rPr>
        <w:t>W dniu oddania krwi należy być wyspanym i wypoczętym oraz zdrowym, czyli:</w:t>
      </w:r>
    </w:p>
    <w:p w:rsidR="00B64D9B" w:rsidRPr="00B64D9B" w:rsidRDefault="00B64D9B" w:rsidP="00B64D9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64D9B">
        <w:rPr>
          <w:rFonts w:ascii="Times New Roman" w:hAnsi="Times New Roman" w:cs="Times New Roman"/>
          <w:sz w:val="24"/>
          <w:szCs w:val="24"/>
        </w:rPr>
        <w:t>nie mieć objawów przeziębienia,</w:t>
      </w:r>
    </w:p>
    <w:p w:rsidR="00B64D9B" w:rsidRPr="00B64D9B" w:rsidRDefault="00B64D9B" w:rsidP="00B64D9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64D9B">
        <w:rPr>
          <w:rFonts w:ascii="Times New Roman" w:hAnsi="Times New Roman" w:cs="Times New Roman"/>
          <w:sz w:val="24"/>
          <w:szCs w:val="24"/>
        </w:rPr>
        <w:t>nie brać aktualnie żadnych leków (nie dotyczy to większości suplementów diety czyli np. popularnych preparatów witaminowych czy środków antykoncepcyjnych, należy jednak poinformować o tym lekarza kwalifikującego).</w:t>
      </w:r>
    </w:p>
    <w:p w:rsidR="00B64D9B" w:rsidRDefault="00B64D9B" w:rsidP="00B64D9B">
      <w:pPr>
        <w:rPr>
          <w:rFonts w:ascii="Times New Roman" w:hAnsi="Times New Roman" w:cs="Times New Roman"/>
          <w:sz w:val="24"/>
          <w:szCs w:val="24"/>
        </w:rPr>
      </w:pPr>
      <w:r w:rsidRPr="00B64D9B">
        <w:rPr>
          <w:rFonts w:ascii="Times New Roman" w:hAnsi="Times New Roman" w:cs="Times New Roman"/>
          <w:sz w:val="24"/>
          <w:szCs w:val="24"/>
        </w:rPr>
        <w:t>Przed przyjściem do Centrum Krwiodawstwa trzeba zjeść lekki posiłek, w ciągu 24 godzin przed pobraniem wypić ok. 2 l płynów i wziąć ze sobą dokument tożsamości ze zdjęciem, najlepiej dowód osobisty. Przed oddaniem krwi należy także ograniczyć palenie papierosów i nie pić alkoholu, również w dniu poprzedzającym oddanie krwi.</w:t>
      </w:r>
    </w:p>
    <w:p w:rsidR="00494EBD" w:rsidRPr="00B64D9B" w:rsidRDefault="00494EBD" w:rsidP="00B64D9B">
      <w:pPr>
        <w:rPr>
          <w:rFonts w:ascii="Times New Roman" w:hAnsi="Times New Roman" w:cs="Times New Roman"/>
          <w:sz w:val="24"/>
          <w:szCs w:val="24"/>
        </w:rPr>
      </w:pPr>
    </w:p>
    <w:p w:rsidR="00B64D9B" w:rsidRPr="00B64D9B" w:rsidRDefault="00494EBD" w:rsidP="00B64D9B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B64D9B">
        <w:rPr>
          <w:rFonts w:ascii="Times New Roman" w:hAnsi="Times New Roman" w:cs="Times New Roman"/>
          <w:b/>
          <w:color w:val="C00000"/>
          <w:sz w:val="24"/>
          <w:szCs w:val="24"/>
        </w:rPr>
        <w:t>INFORMACJE O PRZECIWWSKAZANIACH DO ODDANIA KRWI</w:t>
      </w:r>
    </w:p>
    <w:p w:rsidR="00B64D9B" w:rsidRPr="00B64D9B" w:rsidRDefault="00B64D9B" w:rsidP="00B64D9B">
      <w:pPr>
        <w:rPr>
          <w:rFonts w:ascii="Times New Roman" w:hAnsi="Times New Roman" w:cs="Times New Roman"/>
          <w:sz w:val="24"/>
          <w:szCs w:val="24"/>
        </w:rPr>
      </w:pPr>
      <w:r w:rsidRPr="00B64D9B">
        <w:rPr>
          <w:rFonts w:ascii="Times New Roman" w:hAnsi="Times New Roman" w:cs="Times New Roman"/>
          <w:sz w:val="24"/>
          <w:szCs w:val="24"/>
        </w:rPr>
        <w:t>Niektóre przeciwwskazania do oddawania krwi prowadzą do dyskwalifikacji czasowej:</w:t>
      </w:r>
    </w:p>
    <w:p w:rsidR="00B64D9B" w:rsidRPr="00B64D9B" w:rsidRDefault="00B64D9B" w:rsidP="00B64D9B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64D9B">
        <w:rPr>
          <w:rFonts w:ascii="Times New Roman" w:hAnsi="Times New Roman" w:cs="Times New Roman"/>
          <w:sz w:val="24"/>
          <w:szCs w:val="24"/>
        </w:rPr>
        <w:t>okres miesiączkowania i do 3 dni po zakończeniu,</w:t>
      </w:r>
    </w:p>
    <w:p w:rsidR="00B64D9B" w:rsidRPr="00B64D9B" w:rsidRDefault="00B64D9B" w:rsidP="00B64D9B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64D9B">
        <w:rPr>
          <w:rFonts w:ascii="Times New Roman" w:hAnsi="Times New Roman" w:cs="Times New Roman"/>
          <w:sz w:val="24"/>
          <w:szCs w:val="24"/>
        </w:rPr>
        <w:t>6 miesięcy po wykonaniu tatuażu,</w:t>
      </w:r>
    </w:p>
    <w:p w:rsidR="00B64D9B" w:rsidRPr="00B64D9B" w:rsidRDefault="00B64D9B" w:rsidP="00B64D9B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64D9B">
        <w:rPr>
          <w:rFonts w:ascii="Times New Roman" w:hAnsi="Times New Roman" w:cs="Times New Roman"/>
          <w:sz w:val="24"/>
          <w:szCs w:val="24"/>
        </w:rPr>
        <w:t>6 miesięcy po zabiegu akupunktury,</w:t>
      </w:r>
    </w:p>
    <w:p w:rsidR="00B64D9B" w:rsidRPr="00B64D9B" w:rsidRDefault="00B64D9B" w:rsidP="00B64D9B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64D9B">
        <w:rPr>
          <w:rFonts w:ascii="Times New Roman" w:hAnsi="Times New Roman" w:cs="Times New Roman"/>
          <w:sz w:val="24"/>
          <w:szCs w:val="24"/>
        </w:rPr>
        <w:t>6 miesięcy po przekłuciu uszu lub innych części ciała,</w:t>
      </w:r>
    </w:p>
    <w:p w:rsidR="00B64D9B" w:rsidRPr="00B64D9B" w:rsidRDefault="00B64D9B" w:rsidP="00B64D9B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64D9B">
        <w:rPr>
          <w:rFonts w:ascii="Times New Roman" w:hAnsi="Times New Roman" w:cs="Times New Roman"/>
          <w:sz w:val="24"/>
          <w:szCs w:val="24"/>
        </w:rPr>
        <w:t>6 miesięcy po operacjach i innych zabiegach medycznych wykonywanych sprzętem wielokrotnego użytku i przebiegających z naruszeniem skóry lub błon śluzowych,</w:t>
      </w:r>
    </w:p>
    <w:p w:rsidR="00B64D9B" w:rsidRPr="00B64D9B" w:rsidRDefault="00B64D9B" w:rsidP="00B64D9B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64D9B">
        <w:rPr>
          <w:rFonts w:ascii="Times New Roman" w:hAnsi="Times New Roman" w:cs="Times New Roman"/>
          <w:sz w:val="24"/>
          <w:szCs w:val="24"/>
        </w:rPr>
        <w:t>6 miesięcy po wykonaniu niektórych badań, np. endoskopowych,</w:t>
      </w:r>
    </w:p>
    <w:p w:rsidR="00B64D9B" w:rsidRPr="00B64D9B" w:rsidRDefault="00B64D9B" w:rsidP="00B64D9B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64D9B">
        <w:rPr>
          <w:rFonts w:ascii="Times New Roman" w:hAnsi="Times New Roman" w:cs="Times New Roman"/>
          <w:sz w:val="24"/>
          <w:szCs w:val="24"/>
        </w:rPr>
        <w:t>7 dni po zabiegu usunięcia zęba, leczeniu kanałowym i innych drobnych zabiegach chirurgicznych,</w:t>
      </w:r>
    </w:p>
    <w:p w:rsidR="00B64D9B" w:rsidRPr="00B64D9B" w:rsidRDefault="00B64D9B" w:rsidP="00B64D9B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64D9B">
        <w:rPr>
          <w:rFonts w:ascii="Times New Roman" w:hAnsi="Times New Roman" w:cs="Times New Roman"/>
          <w:sz w:val="24"/>
          <w:szCs w:val="24"/>
        </w:rPr>
        <w:t>do następnego dnia po leczeniu zęba i wizycie u stomatologa,</w:t>
      </w:r>
    </w:p>
    <w:p w:rsidR="00B64D9B" w:rsidRPr="00B64D9B" w:rsidRDefault="00B64D9B" w:rsidP="00B64D9B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64D9B">
        <w:rPr>
          <w:rFonts w:ascii="Times New Roman" w:hAnsi="Times New Roman" w:cs="Times New Roman"/>
          <w:sz w:val="24"/>
          <w:szCs w:val="24"/>
        </w:rPr>
        <w:t>2 lata od potwierdzonego wyleczenia brucelozy i gorączki Q,</w:t>
      </w:r>
    </w:p>
    <w:p w:rsidR="00B64D9B" w:rsidRPr="00B64D9B" w:rsidRDefault="00B64D9B" w:rsidP="00B64D9B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64D9B">
        <w:rPr>
          <w:rFonts w:ascii="Times New Roman" w:hAnsi="Times New Roman" w:cs="Times New Roman"/>
          <w:sz w:val="24"/>
          <w:szCs w:val="24"/>
        </w:rPr>
        <w:t>3 lata po zakończeniu leczenia i braku objawów malarii,</w:t>
      </w:r>
    </w:p>
    <w:p w:rsidR="00B64D9B" w:rsidRDefault="00B64D9B" w:rsidP="00B64D9B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64D9B">
        <w:rPr>
          <w:rFonts w:ascii="Times New Roman" w:hAnsi="Times New Roman" w:cs="Times New Roman"/>
          <w:sz w:val="24"/>
          <w:szCs w:val="24"/>
        </w:rPr>
        <w:t>2 lata po przebyciu gorączki reumatycznej, jeśli nie wystąpiła przewlekła choroba serca,</w:t>
      </w:r>
    </w:p>
    <w:p w:rsidR="00494EBD" w:rsidRPr="00494EBD" w:rsidRDefault="00494EBD" w:rsidP="00494EBD">
      <w:pPr>
        <w:rPr>
          <w:rFonts w:ascii="Times New Roman" w:hAnsi="Times New Roman" w:cs="Times New Roman"/>
          <w:sz w:val="24"/>
          <w:szCs w:val="24"/>
        </w:rPr>
      </w:pPr>
    </w:p>
    <w:p w:rsidR="00B64D9B" w:rsidRPr="00B64D9B" w:rsidRDefault="00B64D9B" w:rsidP="00B64D9B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64D9B">
        <w:rPr>
          <w:rFonts w:ascii="Times New Roman" w:hAnsi="Times New Roman" w:cs="Times New Roman"/>
          <w:sz w:val="24"/>
          <w:szCs w:val="24"/>
        </w:rPr>
        <w:lastRenderedPageBreak/>
        <w:t>2 lata od potwierdzonego wyleczenia zapalenia szpiku,</w:t>
      </w:r>
    </w:p>
    <w:p w:rsidR="00B64D9B" w:rsidRPr="00B64D9B" w:rsidRDefault="00B64D9B" w:rsidP="00B64D9B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64D9B">
        <w:rPr>
          <w:rFonts w:ascii="Times New Roman" w:hAnsi="Times New Roman" w:cs="Times New Roman"/>
          <w:sz w:val="24"/>
          <w:szCs w:val="24"/>
        </w:rPr>
        <w:t>6 miesięcy od całkowitego wyleczenia z toksoplazmozy,</w:t>
      </w:r>
    </w:p>
    <w:p w:rsidR="00B64D9B" w:rsidRPr="00B64D9B" w:rsidRDefault="00B64D9B" w:rsidP="00B64D9B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64D9B">
        <w:rPr>
          <w:rFonts w:ascii="Times New Roman" w:hAnsi="Times New Roman" w:cs="Times New Roman"/>
          <w:sz w:val="24"/>
          <w:szCs w:val="24"/>
        </w:rPr>
        <w:t>6 miesięcy od wyleczenia mononukleozy zakaźnej,</w:t>
      </w:r>
    </w:p>
    <w:p w:rsidR="00B64D9B" w:rsidRPr="00B64D9B" w:rsidRDefault="00B64D9B" w:rsidP="00B64D9B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64D9B">
        <w:rPr>
          <w:rFonts w:ascii="Times New Roman" w:hAnsi="Times New Roman" w:cs="Times New Roman"/>
          <w:sz w:val="24"/>
          <w:szCs w:val="24"/>
        </w:rPr>
        <w:t>6 miesięcy po porodzie lub po zakończeniu ciąży,</w:t>
      </w:r>
    </w:p>
    <w:p w:rsidR="00B64D9B" w:rsidRPr="00B64D9B" w:rsidRDefault="00B64D9B" w:rsidP="00B64D9B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64D9B">
        <w:rPr>
          <w:rFonts w:ascii="Times New Roman" w:hAnsi="Times New Roman" w:cs="Times New Roman"/>
          <w:sz w:val="24"/>
          <w:szCs w:val="24"/>
        </w:rPr>
        <w:t>6 miesięcy po przetoczeniu krwi i jej składników,</w:t>
      </w:r>
    </w:p>
    <w:p w:rsidR="00B64D9B" w:rsidRPr="00B64D9B" w:rsidRDefault="00B64D9B" w:rsidP="00B64D9B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64D9B">
        <w:rPr>
          <w:rFonts w:ascii="Times New Roman" w:hAnsi="Times New Roman" w:cs="Times New Roman"/>
          <w:sz w:val="24"/>
          <w:szCs w:val="24"/>
        </w:rPr>
        <w:t>6 miesięcy po przeszczepie ludzkich komórek i tkanek,</w:t>
      </w:r>
    </w:p>
    <w:p w:rsidR="00B64D9B" w:rsidRPr="00B64D9B" w:rsidRDefault="00B64D9B" w:rsidP="00B64D9B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64D9B">
        <w:rPr>
          <w:rFonts w:ascii="Times New Roman" w:hAnsi="Times New Roman" w:cs="Times New Roman"/>
          <w:sz w:val="24"/>
          <w:szCs w:val="24"/>
        </w:rPr>
        <w:t>co najmniej 2 tygodnie po przebyciu choroby zakaźnej i uzyskaniu prawidłowych wyników badań klinicznych i laboratoryjnych,</w:t>
      </w:r>
    </w:p>
    <w:p w:rsidR="00B64D9B" w:rsidRPr="00B64D9B" w:rsidRDefault="00B64D9B" w:rsidP="00B64D9B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64D9B">
        <w:rPr>
          <w:rFonts w:ascii="Times New Roman" w:hAnsi="Times New Roman" w:cs="Times New Roman"/>
          <w:sz w:val="24"/>
          <w:szCs w:val="24"/>
        </w:rPr>
        <w:t>2 tygodnie po przebyciu grypy, zakażenia grypopochodnego i gorączce powyżej 38°C,</w:t>
      </w:r>
    </w:p>
    <w:p w:rsidR="00B64D9B" w:rsidRPr="00B64D9B" w:rsidRDefault="00B64D9B" w:rsidP="00B64D9B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64D9B">
        <w:rPr>
          <w:rFonts w:ascii="Times New Roman" w:hAnsi="Times New Roman" w:cs="Times New Roman"/>
          <w:sz w:val="24"/>
          <w:szCs w:val="24"/>
        </w:rPr>
        <w:t>2 tygodnie po zaprzestaniu przyjmowania antybiotyków,</w:t>
      </w:r>
    </w:p>
    <w:p w:rsidR="00B64D9B" w:rsidRPr="00B64D9B" w:rsidRDefault="00B64D9B" w:rsidP="00B64D9B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64D9B">
        <w:rPr>
          <w:rFonts w:ascii="Times New Roman" w:hAnsi="Times New Roman" w:cs="Times New Roman"/>
          <w:sz w:val="24"/>
          <w:szCs w:val="24"/>
        </w:rPr>
        <w:t>kontakt z chorobami zakaźnymi dyskwalifikuje na czas równy inkubacji danej choroby (zwykle 4 tygodnie),</w:t>
      </w:r>
    </w:p>
    <w:p w:rsidR="00B64D9B" w:rsidRPr="00B64D9B" w:rsidRDefault="00B64D9B" w:rsidP="00B64D9B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64D9B">
        <w:rPr>
          <w:rFonts w:ascii="Times New Roman" w:hAnsi="Times New Roman" w:cs="Times New Roman"/>
          <w:sz w:val="24"/>
          <w:szCs w:val="24"/>
        </w:rPr>
        <w:t>bliski kontakt w warunkach domowych z chorym na wirusowe zapalenie wątroby dyskwalifikuje na okres 6 miesięcy,</w:t>
      </w:r>
    </w:p>
    <w:p w:rsidR="00B64D9B" w:rsidRPr="00B64D9B" w:rsidRDefault="00B64D9B" w:rsidP="00B64D9B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64D9B">
        <w:rPr>
          <w:rFonts w:ascii="Times New Roman" w:hAnsi="Times New Roman" w:cs="Times New Roman"/>
          <w:sz w:val="24"/>
          <w:szCs w:val="24"/>
        </w:rPr>
        <w:t>okres pozbawienia wolności i 6 miesięcy po tym okresie,</w:t>
      </w:r>
    </w:p>
    <w:p w:rsidR="00B64D9B" w:rsidRPr="00B64D9B" w:rsidRDefault="00B64D9B" w:rsidP="00B64D9B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64D9B">
        <w:rPr>
          <w:rFonts w:ascii="Times New Roman" w:hAnsi="Times New Roman" w:cs="Times New Roman"/>
          <w:sz w:val="24"/>
          <w:szCs w:val="24"/>
        </w:rPr>
        <w:t>po szczepieniach okresowo na czas uzależniony od rodzaju szczepionki (od 48 godzin do 3 miesięcy).</w:t>
      </w:r>
    </w:p>
    <w:p w:rsidR="00B64D9B" w:rsidRPr="00B64D9B" w:rsidRDefault="00B64D9B" w:rsidP="00B64D9B">
      <w:pPr>
        <w:rPr>
          <w:rFonts w:ascii="Times New Roman" w:hAnsi="Times New Roman" w:cs="Times New Roman"/>
          <w:b/>
          <w:sz w:val="24"/>
          <w:szCs w:val="24"/>
        </w:rPr>
      </w:pPr>
      <w:r w:rsidRPr="00B64D9B">
        <w:rPr>
          <w:rFonts w:ascii="Times New Roman" w:hAnsi="Times New Roman" w:cs="Times New Roman"/>
          <w:b/>
          <w:sz w:val="24"/>
          <w:szCs w:val="24"/>
        </w:rPr>
        <w:t>Przyjmowanie leków</w:t>
      </w:r>
    </w:p>
    <w:p w:rsidR="00B64D9B" w:rsidRPr="00B64D9B" w:rsidRDefault="00B64D9B" w:rsidP="00494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4D9B">
        <w:rPr>
          <w:rFonts w:ascii="Times New Roman" w:hAnsi="Times New Roman" w:cs="Times New Roman"/>
          <w:sz w:val="24"/>
          <w:szCs w:val="24"/>
        </w:rPr>
        <w:t>Lekarza przeprowadzającego wywiad należy bezwzględnie poinformować o wszelkich lekach, które są aktualnie przyjmowane – mogą one wskazywać na istnienie choroby powodującej dyskwalifikację, dlatego należy wyjaśnić przyczynę stosowanego leczenia. Dotyczy to także takich leków, jak np. aspiryna – jej zażycie dyskwalifikuje na następnych 5 dni.</w:t>
      </w:r>
    </w:p>
    <w:p w:rsidR="00B64D9B" w:rsidRPr="00B64D9B" w:rsidRDefault="00B64D9B" w:rsidP="00494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4D9B">
        <w:rPr>
          <w:rFonts w:ascii="Times New Roman" w:hAnsi="Times New Roman" w:cs="Times New Roman"/>
          <w:sz w:val="24"/>
          <w:szCs w:val="24"/>
        </w:rPr>
        <w:t>Nie dotyczy to jednak leków takich jak witaminy, doustne leki antykoncepcyjne oraz leki hormonalne stosowane w okresie menopauzy.</w:t>
      </w:r>
    </w:p>
    <w:p w:rsidR="00B64D9B" w:rsidRPr="00B64D9B" w:rsidRDefault="00B64D9B" w:rsidP="00B64D9B">
      <w:pPr>
        <w:rPr>
          <w:rFonts w:ascii="Times New Roman" w:hAnsi="Times New Roman" w:cs="Times New Roman"/>
          <w:b/>
          <w:sz w:val="24"/>
          <w:szCs w:val="24"/>
        </w:rPr>
      </w:pPr>
      <w:r w:rsidRPr="00B64D9B">
        <w:rPr>
          <w:rFonts w:ascii="Times New Roman" w:hAnsi="Times New Roman" w:cs="Times New Roman"/>
          <w:b/>
          <w:sz w:val="24"/>
          <w:szCs w:val="24"/>
        </w:rPr>
        <w:t>Kto nie może zostać dawcą?</w:t>
      </w:r>
    </w:p>
    <w:p w:rsidR="00B64D9B" w:rsidRPr="00B64D9B" w:rsidRDefault="00B64D9B" w:rsidP="00B64D9B">
      <w:pPr>
        <w:rPr>
          <w:rFonts w:ascii="Times New Roman" w:hAnsi="Times New Roman" w:cs="Times New Roman"/>
          <w:sz w:val="24"/>
          <w:szCs w:val="24"/>
        </w:rPr>
      </w:pPr>
      <w:r w:rsidRPr="00B64D9B">
        <w:rPr>
          <w:rFonts w:ascii="Times New Roman" w:hAnsi="Times New Roman" w:cs="Times New Roman"/>
          <w:sz w:val="24"/>
          <w:szCs w:val="24"/>
        </w:rPr>
        <w:t>Lista czynników dożywotnio wykluczających z uczestnictwa w krwiodawstwie jest bardzo długa. Do najczęstszych należą:</w:t>
      </w:r>
    </w:p>
    <w:p w:rsidR="00B64D9B" w:rsidRPr="00B64D9B" w:rsidRDefault="00B64D9B" w:rsidP="00B64D9B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64D9B">
        <w:rPr>
          <w:rFonts w:ascii="Times New Roman" w:hAnsi="Times New Roman" w:cs="Times New Roman"/>
          <w:sz w:val="24"/>
          <w:szCs w:val="24"/>
        </w:rPr>
        <w:t>poważne, aktywne, przewlekłe lub nawracające choroby układu krążenia, choroby układu pokarmowego, oddechowego, moczowego, nerwowego, choroby skóry, choroby zakaźne (np. WZW typu B, WZW typu C, wirusowe zapalnie wątroby w wywiadzie, żółtaczka pokarmowa), nowotwory złośliwe, choroby krwi i układu krwiotwórczego, cukrzyca, choroby tarczycy, nadnerczy itp.,</w:t>
      </w:r>
    </w:p>
    <w:p w:rsidR="00B64D9B" w:rsidRPr="00B64D9B" w:rsidRDefault="00B64D9B" w:rsidP="00B64D9B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64D9B">
        <w:rPr>
          <w:rFonts w:ascii="Times New Roman" w:hAnsi="Times New Roman" w:cs="Times New Roman"/>
          <w:sz w:val="24"/>
          <w:szCs w:val="24"/>
        </w:rPr>
        <w:t>krwi nie mogą oddawać również nosiciele wirusa HIV oraz osoby z zespołem nabytego upośledzenia odporności (AIDS),</w:t>
      </w:r>
    </w:p>
    <w:p w:rsidR="00B64D9B" w:rsidRPr="00B64D9B" w:rsidRDefault="00B64D9B" w:rsidP="00B64D9B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64D9B">
        <w:rPr>
          <w:rFonts w:ascii="Times New Roman" w:hAnsi="Times New Roman" w:cs="Times New Roman"/>
          <w:sz w:val="24"/>
          <w:szCs w:val="24"/>
        </w:rPr>
        <w:t>z krwiodawstwa muszą zrezygnować także osoby, które ze względu na swoje ryzykowne zachowania seksualne są szczególnie narażone na zakażenie poważnymi chorobami przenoszonymi drogą krwi. Do tej grupy zaliczają się m. in.: narkomani, osoby uprawiające prostytucję, osoby często zmieniające partnerów seksualnych, osoby mające partnerów seksualnych z wyżej wymienionych grup ryzyka,</w:t>
      </w:r>
    </w:p>
    <w:p w:rsidR="003A6721" w:rsidRPr="00B64D9B" w:rsidRDefault="00B64D9B" w:rsidP="00B64D9B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64D9B">
        <w:rPr>
          <w:rFonts w:ascii="Times New Roman" w:hAnsi="Times New Roman" w:cs="Times New Roman"/>
          <w:sz w:val="24"/>
          <w:szCs w:val="24"/>
        </w:rPr>
        <w:t>krwiodawcami nie zostaną też osoby z zaburzeniami psychicznymi i zaburzeniami zachowania wynikającymi z używania substancji psychotropowych.</w:t>
      </w:r>
    </w:p>
    <w:sectPr w:rsidR="003A6721" w:rsidRPr="00B64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438C2"/>
    <w:multiLevelType w:val="hybridMultilevel"/>
    <w:tmpl w:val="9DB4AF24"/>
    <w:lvl w:ilvl="0" w:tplc="1E4803BE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8730E"/>
    <w:multiLevelType w:val="hybridMultilevel"/>
    <w:tmpl w:val="6FF467DE"/>
    <w:lvl w:ilvl="0" w:tplc="1E4803BE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03DF7"/>
    <w:multiLevelType w:val="hybridMultilevel"/>
    <w:tmpl w:val="0922AC50"/>
    <w:lvl w:ilvl="0" w:tplc="1E4803BE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34BE3"/>
    <w:multiLevelType w:val="hybridMultilevel"/>
    <w:tmpl w:val="FCC0F4EC"/>
    <w:lvl w:ilvl="0" w:tplc="1E4803BE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6057A"/>
    <w:multiLevelType w:val="hybridMultilevel"/>
    <w:tmpl w:val="7BA022B2"/>
    <w:lvl w:ilvl="0" w:tplc="1E4803BE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863A19"/>
    <w:multiLevelType w:val="hybridMultilevel"/>
    <w:tmpl w:val="FF1A3B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340E30"/>
    <w:multiLevelType w:val="hybridMultilevel"/>
    <w:tmpl w:val="12B4FE82"/>
    <w:lvl w:ilvl="0" w:tplc="1E4803BE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D9B"/>
    <w:rsid w:val="003A6721"/>
    <w:rsid w:val="00494EBD"/>
    <w:rsid w:val="00674401"/>
    <w:rsid w:val="00B6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7CE8A7-5FF3-47F0-839D-125DB7EF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4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2025-05-05T19:24:00Z</dcterms:created>
  <dcterms:modified xsi:type="dcterms:W3CDTF">2025-05-05T19:24:00Z</dcterms:modified>
</cp:coreProperties>
</file>